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Roadmap</w:t>
      </w:r>
    </w:p>
    <w:p>
      <w:pPr>
        <w:ind w:left="720"/>
      </w:pPr>
      <w:r>
        <w:rPr>
          <w:i/>
          <w:color w:val="666666"/>
        </w:rPr>
        <w:t xml:space="preserve">**A phased implementation plan for Acme Inc.**</w:t>
      </w:r>
    </w:p>
    <w:p>
      <w:pPr>
        <w:ind w:left="720"/>
      </w:pPr>
      <w:r>
        <w:rPr>
          <w:i/>
          <w:color w:val="666666"/>
        </w:rPr>
        <w:t xml:space="preserve">Go from zero to fully compliant in 8 weeks.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Generated on 2026-03-19 | 8 services detected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roadmap breaks compliance implementation into four phases, prioritized by legal risk and regulatory deadlines. Each phase builds on the previous one.</w:t>
      </w:r>
    </w:p>
    <w:p>
      <w:r>
        <w:rPr>
          <w:sz w:val="20"/>
        </w:rPr>
        <w:t xml:space="preserve">Phase  |  Timeline  |  Focus  |  Priority</w:t>
      </w:r>
    </w:p>
    <w:p>
      <w:r>
        <w:rPr>
          <w:sz w:val="20"/>
        </w:rPr>
        <w:t xml:space="preserve">Phase 1  |  Week 1  |  Essential Legal Documents  |  **Critical**</w:t>
      </w:r>
    </w:p>
    <w:p>
      <w:r>
        <w:rPr>
          <w:sz w:val="20"/>
        </w:rPr>
        <w:t xml:space="preserve">Phase 2  |  Weeks 2-4  |  Security &amp; Incident Response  |  **High**</w:t>
      </w:r>
    </w:p>
    <w:p>
      <w:r>
        <w:rPr>
          <w:sz w:val="20"/>
        </w:rPr>
        <w:t xml:space="preserve">Phase 3  |  Month 2  |  Advanced Compliance &amp; Audit  |  **Medium**</w:t>
      </w:r>
    </w:p>
    <w:p>
      <w:r>
        <w:rPr>
          <w:sz w:val="20"/>
        </w:rPr>
        <w:t xml:space="preserve">Phase 4  |  Ongoing  |  Monitoring, Updates &amp; Reviews  |  **Continuous**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Phase 1: Essential Documents (Week 1)</w:t>
      </w:r>
    </w:p>
    <w:p>
      <w:pPr>
        <w:ind w:left="720"/>
      </w:pPr>
      <w:r>
        <w:rPr>
          <w:i/>
          <w:color w:val="666666"/>
        </w:rPr>
        <w:t xml:space="preserve">**Goal:** Get the minimum viable legal documents published on your website.</w:t>
      </w:r>
    </w:p>
    <w:p>
      <w:r>
        <w:t xml:space="preserve">These documents carry the highest legal risk if missing. Without them, you are exposed to regulatory fines and user complaints.</w:t>
      </w:r>
    </w:p>
    <w:p>
      <w:pPr>
        <w:pStyle w:val="Heading3"/>
      </w:pPr>
      <w:r>
        <w:t>Week 1, Days 1-2: Privacy &amp; Terms</w:t>
      </w:r>
    </w:p>
    <w:p>
      <w:pPr>
        <w:pStyle w:val="ListParagraph"/>
        <w:numPr>
          <w:ilvl w:val="0"/>
          <w:numId w:val="1"/>
        </w:numPr>
      </w:pPr>
      <w:r>
        <w:t xml:space="preserve">[ ] **Review and publish Privacy Policy** (`PRIVACY_POLICY.md`)</w:t>
      </w:r>
    </w:p>
    <w:p>
      <w:r>
        <w:t xml:space="preserve">  - Replace all placeholder values (`[Your Company Name]`, `[your-email@example.com]`)</w:t>
      </w:r>
    </w:p>
    <w:p>
      <w:r>
        <w:t xml:space="preserve">  - Verify all 8 detected services are correctly listed</w:t>
      </w:r>
    </w:p>
    <w:p>
      <w:r>
        <w:t xml:space="preserve">  - Add to website footer</w:t>
      </w:r>
    </w:p>
    <w:p>
      <w:r>
        <w:t xml:space="preserve">  - GDPR Art. 13 requires this to be accessible before data collection</w:t>
      </w:r>
    </w:p>
    <w:p>
      <w:pPr>
        <w:pStyle w:val="ListParagraph"/>
        <w:numPr>
          <w:ilvl w:val="0"/>
          <w:numId w:val="1"/>
        </w:numPr>
      </w:pPr>
      <w:r>
        <w:t xml:space="preserve">[ ] **Review and publish Terms of Service** (`TERMS_OF_SERVICE.md`)</w:t>
      </w:r>
    </w:p>
    <w:p>
      <w:r>
        <w:t xml:space="preserve">  - Customize limitation of liability amounts</w:t>
      </w:r>
    </w:p>
    <w:p>
      <w:r>
        <w:t xml:space="preserve">  - Review arbitration clause (modify for your jurisdiction)</w:t>
      </w:r>
    </w:p>
    <w:p>
      <w:r>
        <w:t xml:space="preserve">  - Add to website footer alongside Privacy Policy</w:t>
      </w:r>
    </w:p>
    <w:p>
      <w:pPr>
        <w:pStyle w:val="Heading3"/>
      </w:pPr>
      <w:r>
        <w:t>Week 1, Day 3: Cookie Compliance</w:t>
      </w:r>
    </w:p>
    <w:p>
      <w:pPr>
        <w:pStyle w:val="ListParagraph"/>
        <w:numPr>
          <w:ilvl w:val="0"/>
          <w:numId w:val="1"/>
        </w:numPr>
      </w:pPr>
      <w:r>
        <w:t xml:space="preserve">[ ] **Publish Cookie Policy** (`COOKIE_POLICY.md`)</w:t>
      </w:r>
    </w:p>
    <w:p>
      <w:r>
        <w:t xml:space="preserve">  - Verify all detected cookies are listed</w:t>
      </w:r>
    </w:p>
    <w:p>
      <w:r>
        <w:t xml:space="preserve">  - Cross-reference with `COOKIE_INVENTORY.md`</w:t>
      </w:r>
    </w:p>
    <w:p>
      <w:r>
        <w:t xml:space="preserve">  - ePrivacy Directive requires consent before non-essential cookies</w:t>
      </w:r>
    </w:p>
    <w:p>
      <w:pPr>
        <w:pStyle w:val="ListParagraph"/>
        <w:numPr>
          <w:ilvl w:val="0"/>
          <w:numId w:val="1"/>
        </w:numPr>
      </w:pPr>
      <w:r>
        <w:t xml:space="preserve">[ ] **Deploy cookie consent banner**</w:t>
      </w:r>
    </w:p>
    <w:p>
      <w:r>
        <w:t xml:space="preserve">  - Import `COOKIECONSENTCONFIG.json` into your CMP</w:t>
      </w:r>
    </w:p>
    <w:p>
      <w:r>
        <w:t xml:space="preserve">  - Test consent flow: banner appears, preferences saved, cookies blocked until consent</w:t>
      </w:r>
    </w:p>
    <w:p>
      <w:r>
        <w:t xml:space="preserve">  - Verify banner appears on first visit in EU/UK</w:t>
      </w:r>
    </w:p>
    <w:p>
      <w:pPr>
        <w:pStyle w:val="Heading3"/>
      </w:pPr>
      <w:r>
        <w:t>Week 1, Day 4: AI Compliance</w:t>
      </w:r>
    </w:p>
    <w:p>
      <w:pPr>
        <w:pStyle w:val="ListParagraph"/>
        <w:numPr>
          <w:ilvl w:val="0"/>
          <w:numId w:val="1"/>
        </w:numPr>
      </w:pPr>
      <w:r>
        <w:t xml:space="preserve">[ ] **Publish AI Disclosure** (`AI_DISCLOSURE.md`)</w:t>
      </w:r>
    </w:p>
    <w:p>
      <w:r>
        <w:t xml:space="preserve">  - EU AI Act Art. 50 — must disclose AI system usage to users</w:t>
      </w:r>
    </w:p>
    <w:p>
      <w:r>
        <w:t xml:space="preserve">  - Deadline: August 2, 2026 (but implement early)</w:t>
      </w:r>
    </w:p>
    <w:p>
      <w:r>
        <w:t xml:space="preserve">  - Link from main product page, not just buried in legal docs</w:t>
      </w:r>
    </w:p>
    <w:p>
      <w:pPr>
        <w:pStyle w:val="ListParagraph"/>
        <w:numPr>
          <w:ilvl w:val="0"/>
          <w:numId w:val="1"/>
        </w:numPr>
      </w:pPr>
      <w:r>
        <w:t xml:space="preserve">[ ] **Review AI Model Card** (`AI_MODEL_CARD.md`)</w:t>
      </w:r>
    </w:p>
    <w:p>
      <w:r>
        <w:t xml:space="preserve">  - Document model capabilities, limitations, and intended use</w:t>
      </w:r>
    </w:p>
    <w:p>
      <w:r>
        <w:t xml:space="preserve">  - Required for high-risk AI systems under EU AI Act Art. 53</w:t>
      </w:r>
    </w:p>
    <w:p>
      <w:pPr>
        <w:pStyle w:val="Heading3"/>
      </w:pPr>
      <w:r>
        <w:t>Week 1, Day 5: Payment Compliance</w:t>
      </w:r>
    </w:p>
    <w:p>
      <w:pPr>
        <w:pStyle w:val="ListParagraph"/>
        <w:numPr>
          <w:ilvl w:val="0"/>
          <w:numId w:val="1"/>
        </w:numPr>
      </w:pPr>
      <w:r>
        <w:t xml:space="preserve">[ ] **Publish Refund Policy** (`REFUND_POLICY.md`)</w:t>
      </w:r>
    </w:p>
    <w:p>
      <w:r>
        <w:t xml:space="preserve">  - Required in EU (14-day cooling-off period for digital services)</w:t>
      </w:r>
    </w:p>
    <w:p>
      <w:r>
        <w:t xml:space="preserve">  - Customize refund window and process for your business model</w:t>
      </w:r>
    </w:p>
    <w:p>
      <w:pPr>
        <w:pStyle w:val="Heading3"/>
      </w:pPr>
      <w:r>
        <w:t>Week 1 Checklist</w:t>
      </w:r>
    </w:p>
    <w:p>
      <w:r>
        <w:rPr>
          <w:sz w:val="20"/>
        </w:rPr>
        <w:t xml:space="preserve">Document  |  Status  |  Published  |  URL</w:t>
      </w:r>
    </w:p>
    <w:p>
      <w:r>
        <w:rPr>
          <w:sz w:val="20"/>
        </w:rPr>
        <w:t xml:space="preserve">Privacy Policy  |  ☐ Reviewed  |  ☐ Published  |  `/privacy`</w:t>
      </w:r>
    </w:p>
    <w:p>
      <w:r>
        <w:rPr>
          <w:sz w:val="20"/>
        </w:rPr>
        <w:t xml:space="preserve">Terms of Service  |  ☐ Reviewed  |  ☐ Published  |  `/terms`</w:t>
      </w:r>
    </w:p>
    <w:p>
      <w:r>
        <w:rPr>
          <w:sz w:val="20"/>
        </w:rPr>
        <w:t xml:space="preserve">Cookie Policy  |  ☐ Reviewed  |  ☐ Published  |  `/cookies`</w:t>
      </w:r>
    </w:p>
    <w:p>
      <w:r>
        <w:rPr>
          <w:sz w:val="20"/>
        </w:rPr>
        <w:t xml:space="preserve">Cookie Consent Banner  |  ☐ Configured  |  ☐ Deployed  |  —</w:t>
      </w:r>
    </w:p>
    <w:p>
      <w:r>
        <w:rPr>
          <w:sz w:val="20"/>
        </w:rPr>
        <w:t xml:space="preserve">AI Disclosure  |  ☐ Reviewed  |  ☐ Published  |  `/ai-disclosure`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Phase 2: Security &amp; Incident Response (Weeks 2-4)</w:t>
      </w:r>
    </w:p>
    <w:p>
      <w:pPr>
        <w:ind w:left="720"/>
      </w:pPr>
      <w:r>
        <w:rPr>
          <w:i/>
          <w:color w:val="666666"/>
        </w:rPr>
        <w:t xml:space="preserve">**Goal:** Establish security documentation and breach response procedures.</w:t>
      </w:r>
    </w:p>
    <w:p>
      <w:r>
        <w:t xml:space="preserve">If a data breach occurs without these documents, response time increases dramatically and regulatory penalties are higher.</w:t>
      </w:r>
    </w:p>
    <w:p>
      <w:pPr>
        <w:pStyle w:val="Heading3"/>
      </w:pPr>
      <w:r>
        <w:t>Week 2: Security Foundations</w:t>
      </w:r>
    </w:p>
    <w:p>
      <w:pPr>
        <w:pStyle w:val="ListParagraph"/>
        <w:numPr>
          <w:ilvl w:val="0"/>
          <w:numId w:val="1"/>
        </w:numPr>
      </w:pPr>
      <w:r>
        <w:t xml:space="preserve">[ ] **Finalize Security Policy** (`SECURITY.md`)</w:t>
      </w:r>
    </w:p>
    <w:p>
      <w:r>
        <w:t xml:space="preserve">  - Publish as `SECURITY.md` in your repository root</w:t>
      </w:r>
    </w:p>
    <w:p>
      <w:r>
        <w:t xml:space="preserve">  - This is the first document security researchers look for</w:t>
      </w:r>
    </w:p>
    <w:p>
      <w:r>
        <w:t xml:space="preserve">  - Include responsible disclosure contact</w:t>
      </w:r>
    </w:p>
    <w:p>
      <w:pPr>
        <w:pStyle w:val="ListParagraph"/>
        <w:numPr>
          <w:ilvl w:val="0"/>
          <w:numId w:val="1"/>
        </w:numPr>
      </w:pPr>
      <w:r>
        <w:t xml:space="preserve">[ ] **Establish Incident Response Plan** (`INCIDENT_RESPONSE_PLAN.md`)</w:t>
      </w:r>
    </w:p>
    <w:p>
      <w:r>
        <w:t xml:space="preserve">  - Assign incident response team roles</w:t>
      </w:r>
    </w:p>
    <w:p>
      <w:r>
        <w:t xml:space="preserve">  - Set up communication channels (on-call, Slack channel, etc.)</w:t>
      </w:r>
    </w:p>
    <w:p>
      <w:r>
        <w:t xml:space="preserve">  - GDPR requires 72-hour breach notification to supervisory authority</w:t>
      </w:r>
    </w:p>
    <w:p>
      <w:r>
        <w:t xml:space="preserve">  - Run a tabletop exercise within 30 days</w:t>
      </w:r>
    </w:p>
    <w:p>
      <w:pPr>
        <w:pStyle w:val="ListParagraph"/>
        <w:numPr>
          <w:ilvl w:val="0"/>
          <w:numId w:val="1"/>
        </w:numPr>
      </w:pPr>
      <w:r>
        <w:t xml:space="preserve">[ ] **Review Responsible Disclosure Policy** (`RESPONSIBLE_DISCLOSURE_POLICY.md`)</w:t>
      </w:r>
    </w:p>
    <w:p>
      <w:r>
        <w:t xml:space="preserve">  - Set up security@https://acme-saas.com email</w:t>
      </w:r>
    </w:p>
    <w:p>
      <w:r>
        <w:t xml:space="preserve">  - Consider a bug bounty program (HackerOne, Bugcrowd)</w:t>
      </w:r>
    </w:p>
    <w:p>
      <w:pPr>
        <w:pStyle w:val="Heading3"/>
      </w:pPr>
      <w:r>
        <w:t>Week 3: Access &amp; Change Control</w:t>
      </w:r>
    </w:p>
    <w:p>
      <w:pPr>
        <w:pStyle w:val="ListParagraph"/>
        <w:numPr>
          <w:ilvl w:val="0"/>
          <w:numId w:val="1"/>
        </w:numPr>
      </w:pPr>
      <w:r>
        <w:t xml:space="preserve">[ ] **Implement Access Control Policy** (`ACCESS_CONTROL_POLICY.md`)</w:t>
      </w:r>
    </w:p>
    <w:p>
      <w:r>
        <w:t xml:space="preserve">  - Enforce MFA for all team members</w:t>
      </w:r>
    </w:p>
    <w:p>
      <w:r>
        <w:t xml:space="preserve">  - Review service account permissions</w:t>
      </w:r>
    </w:p>
    <w:p>
      <w:r>
        <w:t xml:space="preserve">  - Document role-based access matrix</w:t>
      </w:r>
    </w:p>
    <w:p>
      <w:pPr>
        <w:pStyle w:val="ListParagraph"/>
        <w:numPr>
          <w:ilvl w:val="0"/>
          <w:numId w:val="1"/>
        </w:numPr>
      </w:pPr>
      <w:r>
        <w:t xml:space="preserve">[ ] **Formalize Change Management** (`CHANGE_MANAGEMENT_POLICY.md`)</w:t>
      </w:r>
    </w:p>
    <w:p>
      <w:r>
        <w:t xml:space="preserve">  - Require code review for all changes</w:t>
      </w:r>
    </w:p>
    <w:p>
      <w:r>
        <w:t xml:space="preserve">  - Document deployment procedures</w:t>
      </w:r>
    </w:p>
    <w:p>
      <w:r>
        <w:t xml:space="preserve">  - Establish rollback procedures</w:t>
      </w:r>
    </w:p>
    <w:p>
      <w:pPr>
        <w:pStyle w:val="Heading3"/>
      </w:pPr>
      <w:r>
        <w:t>Week 4: Data Protection</w:t>
      </w:r>
    </w:p>
    <w:p>
      <w:pPr>
        <w:pStyle w:val="ListParagraph"/>
        <w:numPr>
          <w:ilvl w:val="0"/>
          <w:numId w:val="1"/>
        </w:numPr>
      </w:pPr>
      <w:r>
        <w:t xml:space="preserve">[ ] **Set up Data Subject Request process** (`DSAR_HANDLING_GUIDE.md`)</w:t>
      </w:r>
    </w:p>
    <w:p>
      <w:r>
        <w:t xml:space="preserve">  - Create internal DSAR handling workflow</w:t>
      </w:r>
    </w:p>
    <w:p>
      <w:r>
        <w:t xml:space="preserve">  - GDPR requires response within 30 days</w:t>
      </w:r>
    </w:p>
    <w:p>
      <w:r>
        <w:t xml:space="preserve">  - Document data export and deletion procedures</w:t>
      </w:r>
    </w:p>
    <w:p>
      <w:pPr>
        <w:pStyle w:val="ListParagraph"/>
        <w:numPr>
          <w:ilvl w:val="0"/>
          <w:numId w:val="1"/>
        </w:numPr>
      </w:pPr>
      <w:r>
        <w:t xml:space="preserve">[ ] **Review Data Retention Policy** (`DATA_RETENTION_POLICY.md`)</w:t>
      </w:r>
    </w:p>
    <w:p>
      <w:r>
        <w:t xml:space="preserve">  - Define retention periods for each data category</w:t>
      </w:r>
    </w:p>
    <w:p>
      <w:r>
        <w:t xml:space="preserve">  - Implement automated deletion where possible</w:t>
      </w:r>
    </w:p>
    <w:p>
      <w:r>
        <w:t xml:space="preserve">  - Document exceptions and legal holds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Phase 3: Advanced Compliance &amp; Audit Readiness (Month 2)</w:t>
      </w:r>
    </w:p>
    <w:p>
      <w:pPr>
        <w:ind w:left="720"/>
      </w:pPr>
      <w:r>
        <w:rPr>
          <w:i/>
          <w:color w:val="666666"/>
        </w:rPr>
        <w:t xml:space="preserve">**Goal:** Prepare for investor due diligence, SOC 2 audit, and advanced regulatory requirements.</w:t>
      </w:r>
    </w:p>
    <w:p>
      <w:pPr>
        <w:pStyle w:val="Heading3"/>
      </w:pPr>
      <w:r>
        <w:t>SOC 2 Preparation</w:t>
      </w:r>
    </w:p>
    <w:p>
      <w:pPr>
        <w:pStyle w:val="ListParagraph"/>
        <w:numPr>
          <w:ilvl w:val="0"/>
          <w:numId w:val="1"/>
        </w:numPr>
      </w:pPr>
      <w:r>
        <w:t xml:space="preserve">[ ] **Complete SOC 2 Readiness Checklist** (`SOC2_READINESS_CHECKLIST.md`)</w:t>
      </w:r>
    </w:p>
    <w:p>
      <w:r>
        <w:t xml:space="preserve">  - Map controls to Trust Service Criteria</w:t>
      </w:r>
    </w:p>
    <w:p>
      <w:r>
        <w:t xml:space="preserve">  - Identify gaps in current implementation</w:t>
      </w:r>
    </w:p>
    <w:p>
      <w:r>
        <w:t xml:space="preserve">  - Begin evidence collection</w:t>
      </w:r>
    </w:p>
    <w:p>
      <w:pPr>
        <w:pStyle w:val="ListParagraph"/>
        <w:numPr>
          <w:ilvl w:val="0"/>
          <w:numId w:val="1"/>
        </w:numPr>
      </w:pPr>
      <w:r>
        <w:t xml:space="preserve">[ ] **Review ISO 27001 Checklist** (`ISO_27001_CHECKLIST.md`)</w:t>
      </w:r>
    </w:p>
    <w:p>
      <w:r>
        <w:t xml:space="preserve">  - Align with Annex A controls</w:t>
      </w:r>
    </w:p>
    <w:p>
      <w:r>
        <w:t xml:space="preserve">  - Document existing controls</w:t>
      </w:r>
    </w:p>
    <w:p>
      <w:r>
        <w:t xml:space="preserve">  - Plan gap remediation</w:t>
      </w:r>
    </w:p>
    <w:p>
      <w:pPr>
        <w:pStyle w:val="Heading3"/>
      </w:pPr>
      <w:r>
        <w:t>Data Processing &amp; Transfers</w:t>
      </w:r>
    </w:p>
    <w:p>
      <w:pPr>
        <w:pStyle w:val="ListParagraph"/>
        <w:numPr>
          <w:ilvl w:val="0"/>
          <w:numId w:val="1"/>
        </w:numPr>
      </w:pPr>
      <w:r>
        <w:t xml:space="preserve">[ ] **Finalize Data Processing Agreements** (`DATA_PROCESSING_AGREEMENT.md`)</w:t>
      </w:r>
    </w:p>
    <w:p>
      <w:r>
        <w:t xml:space="preserve">  - Send DPA to all 8 detected sub-processors</w:t>
      </w:r>
    </w:p>
    <w:p>
      <w:r>
        <w:t xml:space="preserve">  - Collect signed copies</w:t>
      </w:r>
    </w:p>
    <w:p>
      <w:r>
        <w:t xml:space="preserve">  - Review `VENDOR_CONTACTS.md` for DPA contact details</w:t>
      </w:r>
    </w:p>
    <w:p>
      <w:pPr>
        <w:pStyle w:val="ListParagraph"/>
        <w:numPr>
          <w:ilvl w:val="0"/>
          <w:numId w:val="1"/>
        </w:numPr>
      </w:pPr>
      <w:r>
        <w:t xml:space="preserve">[ ] **Complete Privacy Impact Assessment** (`PRIVACY_IMPACT_ASSESSMENT.md`)</w:t>
      </w:r>
    </w:p>
    <w:p>
      <w:r>
        <w:t xml:space="preserve">  - Required for AI-based processing under GDPR Art. 35</w:t>
      </w:r>
    </w:p>
    <w:p>
      <w:r>
        <w:t xml:space="preserve">  - Document risks and mitigations</w:t>
      </w:r>
    </w:p>
    <w:p>
      <w:r>
        <w:t xml:space="preserve">  - Review with DPO or legal counsel</w:t>
      </w:r>
    </w:p>
    <w:p>
      <w:pPr>
        <w:pStyle w:val="ListParagraph"/>
        <w:numPr>
          <w:ilvl w:val="0"/>
          <w:numId w:val="1"/>
        </w:numPr>
      </w:pPr>
      <w:r>
        <w:t xml:space="preserve">[ ] **Review Transfer Impact Assessment** (`TRANSFER_IMPACT_ASSESSMENT.md`)</w:t>
      </w:r>
    </w:p>
    <w:p>
      <w:r>
        <w:t xml:space="preserve">  - Map all international data transfers</w:t>
      </w:r>
    </w:p>
    <w:p>
      <w:r>
        <w:t xml:space="preserve">  - Ensure Standard Contractual Clauses are in place</w:t>
      </w:r>
    </w:p>
    <w:p>
      <w:r>
        <w:t xml:space="preserve">  - Document supplementary measures (Schrems II)</w:t>
      </w:r>
    </w:p>
    <w:p>
      <w:pPr>
        <w:pStyle w:val="Heading3"/>
      </w:pPr>
      <w:r>
        <w:t>Vendor Management</w:t>
      </w:r>
    </w:p>
    <w:p>
      <w:pPr>
        <w:pStyle w:val="ListParagraph"/>
        <w:numPr>
          <w:ilvl w:val="0"/>
          <w:numId w:val="1"/>
        </w:numPr>
      </w:pPr>
      <w:r>
        <w:t xml:space="preserve">[ ] **Complete Vendor Risk Assessments** (`THIRD_PARTY_RISK_ASSESSMENT.md`)</w:t>
      </w:r>
    </w:p>
    <w:p>
      <w:r>
        <w:t xml:space="preserve">  - Assess each detected sub-processor</w:t>
      </w:r>
    </w:p>
    <w:p>
      <w:r>
        <w:t xml:space="preserve">  - Use `VENDORSECURITYQUESTIONNAIRE.md` for evaluations</w:t>
      </w:r>
    </w:p>
    <w:p>
      <w:r>
        <w:t xml:space="preserve">  - Score and document vendor risks</w:t>
      </w:r>
    </w:p>
    <w:p>
      <w:pPr>
        <w:pStyle w:val="ListParagraph"/>
        <w:numPr>
          <w:ilvl w:val="0"/>
          <w:numId w:val="1"/>
        </w:numPr>
      </w:pPr>
      <w:r>
        <w:t xml:space="preserve">[ ] **Establish Vendor Onboarding Process** (`VENDOR_ONBOARDING_CHECKLIST.md`)</w:t>
      </w:r>
    </w:p>
    <w:p>
      <w:r>
        <w:t xml:space="preserve">  - Define approval workflow for new vendors</w:t>
      </w:r>
    </w:p>
    <w:p>
      <w:r>
        <w:t xml:space="preserve">  - Require DPA before integration</w:t>
      </w:r>
    </w:p>
    <w:p>
      <w:r>
        <w:t xml:space="preserve">  - Set review cadence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Phase 4: Ongoing Monitoring &amp; Maintenance</w:t>
      </w:r>
    </w:p>
    <w:p>
      <w:pPr>
        <w:ind w:left="720"/>
      </w:pPr>
      <w:r>
        <w:rPr>
          <w:i/>
          <w:color w:val="666666"/>
        </w:rPr>
        <w:t xml:space="preserve">**Goal:** Keep compliance current as your codebase evolves.</w:t>
      </w:r>
    </w:p>
    <w:p>
      <w:pPr>
        <w:pStyle w:val="Heading3"/>
      </w:pPr>
      <w:r>
        <w:t>Automated Monitoring</w:t>
      </w:r>
    </w:p>
    <w:p>
      <w:pPr>
        <w:pStyle w:val="ListParagraph"/>
        <w:numPr>
          <w:ilvl w:val="0"/>
          <w:numId w:val="1"/>
        </w:numPr>
      </w:pPr>
      <w:r>
        <w:t xml:space="preserve">[ ] **Set up CI/CD compliance checks**</w:t>
      </w:r>
    </w:p>
    <w:p>
      <w:r>
        <w:t xml:space="preserve">  ```yaml</w:t>
      </w:r>
    </w:p>
    <w:p>
      <w:r>
        <w:t xml:space="preserve">  # .github/workflows/compliance.yml</w:t>
      </w:r>
    </w:p>
    <w:p>
      <w:r>
        <w:t xml:space="preserve">  - uses: joechensmartz/codepliant@v220</w:t>
      </w:r>
    </w:p>
    <w:p>
      <w:r>
        <w:t xml:space="preserve">    with:</w:t>
      </w:r>
    </w:p>
    <w:p>
      <w:r>
        <w:t xml:space="preserve">      fail-on-missing: true</w:t>
      </w:r>
    </w:p>
    <w:p>
      <w:r>
        <w:t xml:space="preserve">  ```</w:t>
      </w:r>
    </w:p>
    <w:p>
      <w:pPr>
        <w:pStyle w:val="ListParagraph"/>
        <w:numPr>
          <w:ilvl w:val="0"/>
          <w:numId w:val="1"/>
        </w:numPr>
      </w:pPr>
      <w:r>
        <w:t xml:space="preserve">[ ] **Install pre-commit hook**</w:t>
      </w:r>
    </w:p>
    <w:p>
      <w:r>
        <w:t xml:space="preserve">  ```bash</w:t>
      </w:r>
    </w:p>
    <w:p>
      <w:r>
        <w:t xml:space="preserve">  npx codepliant hook install</w:t>
      </w:r>
    </w:p>
    <w:p>
      <w:r>
        <w:t xml:space="preserve">  ```</w:t>
      </w:r>
    </w:p>
    <w:p>
      <w:pPr>
        <w:pStyle w:val="ListParagraph"/>
        <w:numPr>
          <w:ilvl w:val="0"/>
          <w:numId w:val="1"/>
        </w:numPr>
      </w:pPr>
      <w:r>
        <w:t xml:space="preserve">[ ] **Schedule periodic scans**</w:t>
      </w:r>
    </w:p>
    <w:p>
      <w:r>
        <w:t xml:space="preserve">  ```bash</w:t>
      </w:r>
    </w:p>
    <w:p>
      <w:r>
        <w:t xml:space="preserve">  npx codepliant schedule install --frequency weekly</w:t>
      </w:r>
    </w:p>
    <w:p>
      <w:r>
        <w:t xml:space="preserve">  ```</w:t>
      </w:r>
    </w:p>
    <w:p>
      <w:pPr>
        <w:pStyle w:val="Heading3"/>
      </w:pPr>
      <w:r>
        <w:t>Review Cadence</w:t>
      </w:r>
    </w:p>
    <w:p>
      <w:r>
        <w:rPr>
          <w:sz w:val="20"/>
        </w:rPr>
        <w:t xml:space="preserve">Frequency  |  Action  |  Owner  |  Command</w:t>
      </w:r>
    </w:p>
    <w:p>
      <w:r>
        <w:rPr>
          <w:sz w:val="20"/>
        </w:rPr>
        <w:t xml:space="preserve">**Weekly**  |  Check compliance dashboard  |  Engineering lead  |  `codepliant dashboard`</w:t>
      </w:r>
    </w:p>
    <w:p>
      <w:r>
        <w:rPr>
          <w:sz w:val="20"/>
        </w:rPr>
        <w:t xml:space="preserve">**Monthly**  |  Re-scan and update documents  |  Engineering lead  |  `codepliant update`</w:t>
      </w:r>
    </w:p>
    <w:p>
      <w:r>
        <w:rPr>
          <w:sz w:val="20"/>
        </w:rPr>
        <w:t xml:space="preserve">**Quarterly**  |  Full compliance report  |  CTO/CISO  |  `codepliant report`</w:t>
      </w:r>
    </w:p>
    <w:p>
      <w:r>
        <w:rPr>
          <w:sz w:val="20"/>
        </w:rPr>
        <w:t xml:space="preserve">**Semi-annual**  |  Vendor review cycle  |  Security team  |  Manual review</w:t>
      </w:r>
    </w:p>
    <w:p>
      <w:r>
        <w:rPr>
          <w:sz w:val="20"/>
        </w:rPr>
        <w:t xml:space="preserve">**Annual**  |  Complete compliance review  |  DPO/Legal  |  `ANNUAL_REVIEW_CHECKLIST.md`</w:t>
      </w:r>
    </w:p>
    <w:p>
      <w:pPr>
        <w:pStyle w:val="Heading3"/>
      </w:pPr>
      <w:r>
        <w:t>Trigger-Based Updates</w:t>
      </w:r>
    </w:p>
    <w:p>
      <w:r>
        <w:t xml:space="preserve">Re-run `npx codepliant go` whenever you:</w:t>
      </w:r>
    </w:p>
    <w:p>
      <w:pPr>
        <w:pStyle w:val="ListParagraph"/>
        <w:numPr>
          <w:ilvl w:val="0"/>
          <w:numId w:val="1"/>
        </w:numPr>
      </w:pPr>
      <w:r>
        <w:t xml:space="preserve">Add a new third-party service or dependency</w:t>
      </w:r>
    </w:p>
    <w:p>
      <w:pPr>
        <w:pStyle w:val="ListParagraph"/>
        <w:numPr>
          <w:ilvl w:val="0"/>
          <w:numId w:val="1"/>
        </w:numPr>
      </w:pPr>
      <w:r>
        <w:t xml:space="preserve">Change authentication providers</w:t>
      </w:r>
    </w:p>
    <w:p>
      <w:pPr>
        <w:pStyle w:val="ListParagraph"/>
        <w:numPr>
          <w:ilvl w:val="0"/>
          <w:numId w:val="1"/>
        </w:numPr>
      </w:pPr>
      <w:r>
        <w:t xml:space="preserve">Add AI/ML capabilities</w:t>
      </w:r>
    </w:p>
    <w:p>
      <w:pPr>
        <w:pStyle w:val="ListParagraph"/>
        <w:numPr>
          <w:ilvl w:val="0"/>
          <w:numId w:val="1"/>
        </w:numPr>
      </w:pPr>
      <w:r>
        <w:t xml:space="preserve">Expand to new markets/jurisdictions</w:t>
      </w:r>
    </w:p>
    <w:p>
      <w:pPr>
        <w:pStyle w:val="ListParagraph"/>
        <w:numPr>
          <w:ilvl w:val="0"/>
          <w:numId w:val="1"/>
        </w:numPr>
      </w:pPr>
      <w:r>
        <w:t xml:space="preserve">Change data storage or processing patterns</w:t>
      </w:r>
    </w:p>
    <w:p>
      <w:pPr>
        <w:pStyle w:val="ListParagraph"/>
        <w:numPr>
          <w:ilvl w:val="0"/>
          <w:numId w:val="1"/>
        </w:numPr>
      </w:pPr>
      <w:r>
        <w:t xml:space="preserve">Update pricing or terms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Progress Tracker</w:t>
      </w:r>
    </w:p>
    <w:p>
      <w:r>
        <w:rPr>
          <w:sz w:val="20"/>
        </w:rPr>
        <w:t xml:space="preserve">Phase  |  Target Date  |  Status  |  Notes</w:t>
      </w:r>
    </w:p>
    <w:p>
      <w:r>
        <w:rPr>
          <w:sz w:val="20"/>
        </w:rPr>
        <w:t xml:space="preserve">Phase 1: Essential Documents  |  Week 1  |  ☐ Not started</w:t>
      </w:r>
    </w:p>
    <w:p>
      <w:r>
        <w:rPr>
          <w:sz w:val="20"/>
        </w:rPr>
        <w:t xml:space="preserve">Phase 2: Security &amp; IR  |  Weeks 2-4  |  ☐ Not started</w:t>
      </w:r>
    </w:p>
    <w:p>
      <w:r>
        <w:rPr>
          <w:sz w:val="20"/>
        </w:rPr>
        <w:t xml:space="preserve">Phase 3: Advanced Compliance  |  Month 2  |  ☐ Not started</w:t>
      </w:r>
    </w:p>
    <w:p>
      <w:r>
        <w:rPr>
          <w:sz w:val="20"/>
        </w:rPr>
        <w:t xml:space="preserve">Phase 4: Ongoing Monitoring  |  Continuous  |  ☐ Not started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Regulatory Deadlines</w:t>
      </w:r>
    </w:p>
    <w:p>
      <w:r>
        <w:rPr>
          <w:sz w:val="20"/>
        </w:rPr>
        <w:t xml:space="preserve">Regulation  |  Deadline  |  Impact  |  Your Status</w:t>
      </w:r>
    </w:p>
    <w:p>
      <w:r>
        <w:rPr>
          <w:sz w:val="20"/>
        </w:rPr>
        <w:t xml:space="preserve">GDPR  |  **In effect**  |  Fines up to 4% global revenue / EUR 20M  |  ☐ Review required</w:t>
      </w:r>
    </w:p>
    <w:p>
      <w:r>
        <w:rPr>
          <w:sz w:val="20"/>
        </w:rPr>
        <w:t xml:space="preserve">EU AI Act  |  **August 2, 2026**  |  Fines up to EUR 35M / 7% global revenue  |  ☐ Preparation needed</w:t>
      </w:r>
    </w:p>
    <w:p>
      <w:r>
        <w:rPr>
          <w:sz w:val="20"/>
        </w:rPr>
        <w:t xml:space="preserve">ePrivacy Directive  |  **In effect**  |  Cookie consent requirements  |  ☐ Review required</w:t>
      </w:r>
    </w:p>
    <w:p>
      <w:pPr>
        <w:pBdr>
          <w:bottom w:val="single" w:sz="6" w:space="1" w:color="999999"/>
        </w:pBdr>
      </w:pPr>
    </w:p>
    <w:p>
      <w:r>
        <w:t xml:space="preserve">Generated by Codepliant v410.0.0 on 2026-03-19.</w:t>
      </w:r>
    </w:p>
    <w:p>
      <w:r>
        <w:t xml:space="preserve">This roadmap is personalized to your detected stack (8 services). Re-run `npx codepliant go` after changes to update.</w:t>
      </w:r>
    </w:p>
    <w:p>
      <w:r>
        <w:t xml:space="preserve">This document should be reviewed by a qualified compliance professional.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